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3F7" w:rsidRDefault="00586653" w:rsidP="00A343F7">
      <w:r>
        <w:rPr>
          <w:rFonts w:ascii="Calibri" w:hAnsi="Calibri" w:cs="Times New Roman"/>
          <w:b/>
          <w:sz w:val="36"/>
          <w:szCs w:val="36"/>
          <w:u w:val="single"/>
        </w:rPr>
        <w:t xml:space="preserve">6. </w:t>
      </w:r>
      <w:r w:rsidR="00A343F7" w:rsidRPr="00A93AD9">
        <w:rPr>
          <w:rFonts w:ascii="Calibri" w:hAnsi="Calibri" w:cs="Times New Roman"/>
          <w:b/>
          <w:sz w:val="36"/>
          <w:szCs w:val="36"/>
          <w:u w:val="single"/>
        </w:rPr>
        <w:t xml:space="preserve">POUŽITÍ ZKAPALNĚNÝCH TOPNÝCH PLYNŮ </w:t>
      </w:r>
      <w:r w:rsidR="005A5D62">
        <w:rPr>
          <w:rFonts w:ascii="Calibri" w:hAnsi="Calibri" w:cs="Times New Roman"/>
          <w:b/>
          <w:sz w:val="36"/>
          <w:szCs w:val="36"/>
          <w:u w:val="single"/>
        </w:rPr>
        <w:t xml:space="preserve">(ZTP) </w:t>
      </w:r>
      <w:r w:rsidR="00A343F7" w:rsidRPr="00A93AD9">
        <w:rPr>
          <w:rFonts w:ascii="Calibri" w:hAnsi="Calibri" w:cs="Times New Roman"/>
          <w:b/>
          <w:sz w:val="36"/>
          <w:szCs w:val="36"/>
          <w:u w:val="single"/>
        </w:rPr>
        <w:t>PROPAN-BUTAN</w:t>
      </w:r>
      <w:r w:rsidR="00A343F7">
        <w:rPr>
          <w:rFonts w:ascii="Calibri" w:hAnsi="Calibri" w:cs="Times New Roman"/>
          <w:b/>
          <w:sz w:val="36"/>
          <w:szCs w:val="36"/>
          <w:u w:val="single"/>
        </w:rPr>
        <w:t xml:space="preserve"> </w:t>
      </w:r>
    </w:p>
    <w:p w:rsidR="00A343F7" w:rsidRPr="00A93AD9" w:rsidRDefault="00A343F7" w:rsidP="00A343F7">
      <w:pPr>
        <w:spacing w:before="100" w:beforeAutospacing="1" w:after="100" w:afterAutospacing="1"/>
        <w:jc w:val="both"/>
        <w:rPr>
          <w:rFonts w:ascii="Times New Roman" w:eastAsia="Times New Roman" w:hAnsi="Times New Roman" w:cs="Times New Roman"/>
          <w:sz w:val="24"/>
          <w:szCs w:val="24"/>
          <w:lang w:eastAsia="cs-CZ"/>
        </w:rPr>
      </w:pPr>
      <w:r w:rsidRPr="00A93AD9">
        <w:rPr>
          <w:rFonts w:ascii="Times New Roman" w:eastAsia="Times New Roman" w:hAnsi="Times New Roman" w:cs="Times New Roman"/>
          <w:sz w:val="24"/>
          <w:szCs w:val="24"/>
          <w:lang w:eastAsia="cs-CZ"/>
        </w:rPr>
        <w:t>Propan a butan patří do skupiny uhlovodíkových plynů</w:t>
      </w:r>
      <w:r>
        <w:rPr>
          <w:rFonts w:ascii="Times New Roman" w:eastAsia="Times New Roman" w:hAnsi="Times New Roman" w:cs="Times New Roman"/>
          <w:sz w:val="24"/>
          <w:szCs w:val="24"/>
          <w:lang w:eastAsia="cs-CZ"/>
        </w:rPr>
        <w:t xml:space="preserve">. </w:t>
      </w:r>
      <w:r w:rsidRPr="00A93AD9">
        <w:rPr>
          <w:rFonts w:ascii="Times New Roman" w:eastAsia="Times New Roman" w:hAnsi="Times New Roman" w:cs="Times New Roman"/>
          <w:sz w:val="24"/>
          <w:szCs w:val="24"/>
          <w:lang w:eastAsia="cs-CZ"/>
        </w:rPr>
        <w:t xml:space="preserve"> Zkapalněný propan-butan je bezbarvá, snadno těkavá kapalina specifického zápachu. Za normálního (atmosférického) tlaku a teploty se jedná o směs plynnou, ale již při malém zvýšení tlaku se skupenství mění na kapalné a dochází k velkému zmenšení objemu (asi 260x). Z tohoto důvodu je možno uskladnit obrovskou tepelnou kapacitu v poměrně malém zásobníku.</w:t>
      </w:r>
    </w:p>
    <w:p w:rsidR="00A343F7" w:rsidRDefault="00A343F7" w:rsidP="00A343F7">
      <w:pPr>
        <w:spacing w:before="100" w:beforeAutospacing="1" w:after="100" w:afterAutospacing="1"/>
        <w:jc w:val="both"/>
        <w:rPr>
          <w:rFonts w:ascii="Times New Roman" w:eastAsia="Times New Roman" w:hAnsi="Times New Roman" w:cs="Times New Roman"/>
          <w:sz w:val="24"/>
          <w:szCs w:val="24"/>
          <w:lang w:eastAsia="cs-CZ"/>
        </w:rPr>
      </w:pPr>
      <w:r w:rsidRPr="00A93AD9">
        <w:rPr>
          <w:rFonts w:ascii="Times New Roman" w:eastAsia="Times New Roman" w:hAnsi="Times New Roman" w:cs="Times New Roman"/>
          <w:sz w:val="24"/>
          <w:szCs w:val="24"/>
          <w:lang w:eastAsia="cs-CZ"/>
        </w:rPr>
        <w:t xml:space="preserve">Propan-butan je směs v názvu uvedených produktů ( propanu a </w:t>
      </w:r>
      <w:proofErr w:type="gramStart"/>
      <w:r w:rsidRPr="00A93AD9">
        <w:rPr>
          <w:rFonts w:ascii="Times New Roman" w:eastAsia="Times New Roman" w:hAnsi="Times New Roman" w:cs="Times New Roman"/>
          <w:sz w:val="24"/>
          <w:szCs w:val="24"/>
          <w:lang w:eastAsia="cs-CZ"/>
        </w:rPr>
        <w:t>butanu ). Propan</w:t>
      </w:r>
      <w:proofErr w:type="gramEnd"/>
      <w:r w:rsidRPr="00A93AD9">
        <w:rPr>
          <w:rFonts w:ascii="Times New Roman" w:eastAsia="Times New Roman" w:hAnsi="Times New Roman" w:cs="Times New Roman"/>
          <w:sz w:val="24"/>
          <w:szCs w:val="24"/>
          <w:lang w:eastAsia="cs-CZ"/>
        </w:rPr>
        <w:t xml:space="preserve"> ani butan není jedovatý a při náhodném úkapu se vypaří a nedochází tak ke znečištění podzemních vod. </w:t>
      </w:r>
    </w:p>
    <w:p w:rsidR="00A343F7" w:rsidRDefault="00A343F7" w:rsidP="00A343F7">
      <w:pPr>
        <w:pStyle w:val="ca"/>
      </w:pPr>
      <w:r>
        <w:t xml:space="preserve">Zdroj: </w:t>
      </w:r>
      <w:hyperlink r:id="rId4" w:history="1">
        <w:r w:rsidRPr="000F2298">
          <w:rPr>
            <w:rStyle w:val="Hypertextovodkaz"/>
          </w:rPr>
          <w:t>http://www.tomegas.cz/</w:t>
        </w:r>
      </w:hyperlink>
    </w:p>
    <w:p w:rsidR="00A343F7" w:rsidRDefault="00586653" w:rsidP="00A343F7">
      <w:pPr>
        <w:pStyle w:val="Normlnweb"/>
        <w:jc w:val="both"/>
      </w:pPr>
      <w:r>
        <w:rPr>
          <w:rFonts w:ascii="Calibri" w:hAnsi="Calibri"/>
          <w:b/>
          <w:sz w:val="36"/>
          <w:szCs w:val="36"/>
          <w:u w:val="single"/>
        </w:rPr>
        <w:t>6.1</w:t>
      </w:r>
      <w:r w:rsidR="00A343F7">
        <w:rPr>
          <w:rFonts w:ascii="Calibri" w:hAnsi="Calibri"/>
          <w:b/>
          <w:sz w:val="36"/>
          <w:szCs w:val="36"/>
          <w:u w:val="single"/>
        </w:rPr>
        <w:t xml:space="preserve"> VLASTNOSTI PB</w:t>
      </w:r>
    </w:p>
    <w:p w:rsidR="00A343F7" w:rsidRDefault="00A343F7" w:rsidP="00A343F7">
      <w:pPr>
        <w:pStyle w:val="Normlnweb"/>
        <w:jc w:val="both"/>
      </w:pPr>
      <w:r>
        <w:t>Za normálních atmosférických podmínek se propan butan vyskytuje v </w:t>
      </w:r>
      <w:r>
        <w:rPr>
          <w:rStyle w:val="Siln"/>
        </w:rPr>
        <w:t>plynné formě</w:t>
      </w:r>
      <w:r>
        <w:t xml:space="preserve">. Ochlazením, nebo </w:t>
      </w:r>
      <w:r>
        <w:rPr>
          <w:rStyle w:val="Siln"/>
        </w:rPr>
        <w:t>stlačením</w:t>
      </w:r>
      <w:r>
        <w:t xml:space="preserve"> ho lze </w:t>
      </w:r>
      <w:r>
        <w:rPr>
          <w:rStyle w:val="Siln"/>
        </w:rPr>
        <w:t>jednoduše převést do kapalného stavu</w:t>
      </w:r>
      <w:r>
        <w:t>, v němž zaujímá pouze 1/260 plynného objemu. Při odběru z nádoby se LPG vypařují - přechází z kapalného do plynného skupenství - a svůj objem naopak 260x zvětšují.</w:t>
      </w:r>
    </w:p>
    <w:p w:rsidR="00A343F7" w:rsidRDefault="00A343F7" w:rsidP="00A343F7">
      <w:pPr>
        <w:pStyle w:val="Normlnweb"/>
        <w:jc w:val="both"/>
      </w:pPr>
      <w:r>
        <w:t xml:space="preserve">Z hlediska bezpečnosti důležité vědět, že jsou </w:t>
      </w:r>
      <w:r>
        <w:rPr>
          <w:rStyle w:val="Siln"/>
        </w:rPr>
        <w:t>těžší než vzduch.</w:t>
      </w:r>
      <w:r>
        <w:t xml:space="preserve"> To znamená, že se </w:t>
      </w:r>
      <w:r>
        <w:rPr>
          <w:rStyle w:val="Siln"/>
        </w:rPr>
        <w:t xml:space="preserve">usazují </w:t>
      </w:r>
      <w:r>
        <w:t xml:space="preserve">vždy na </w:t>
      </w:r>
      <w:r>
        <w:rPr>
          <w:rStyle w:val="Siln"/>
        </w:rPr>
        <w:t>nejnižším místě terénu</w:t>
      </w:r>
      <w:r>
        <w:t>. Proto je zakázáno uskladňovat LPG blízko otvorů do sklepů, montážních jam či kanálů a také přímo v podzemních prostorách.</w:t>
      </w:r>
    </w:p>
    <w:p w:rsidR="00A343F7" w:rsidRDefault="00586653" w:rsidP="00A343F7">
      <w:pPr>
        <w:pStyle w:val="Normlnweb"/>
        <w:jc w:val="both"/>
      </w:pPr>
      <w:r>
        <w:rPr>
          <w:rFonts w:ascii="Calibri" w:hAnsi="Calibri"/>
          <w:b/>
          <w:sz w:val="36"/>
          <w:szCs w:val="36"/>
          <w:u w:val="single"/>
        </w:rPr>
        <w:t>6</w:t>
      </w:r>
      <w:r w:rsidR="00A343F7">
        <w:rPr>
          <w:rFonts w:ascii="Calibri" w:hAnsi="Calibri"/>
          <w:b/>
          <w:sz w:val="36"/>
          <w:szCs w:val="36"/>
          <w:u w:val="single"/>
        </w:rPr>
        <w:t>.2 ZIMNÍ A LETNÍ SMĚS</w:t>
      </w:r>
    </w:p>
    <w:p w:rsidR="00A343F7" w:rsidRDefault="00A343F7" w:rsidP="00A343F7">
      <w:pPr>
        <w:pStyle w:val="Nadpis2"/>
        <w:jc w:val="both"/>
      </w:pPr>
      <w:r>
        <w:t>ROZDÍL MEZI PROPANEM A PROPAN BUTANEM</w:t>
      </w:r>
    </w:p>
    <w:p w:rsidR="00A343F7" w:rsidRDefault="00A343F7" w:rsidP="00A343F7">
      <w:pPr>
        <w:pStyle w:val="Normlnweb"/>
        <w:jc w:val="both"/>
      </w:pPr>
      <w:r>
        <w:t xml:space="preserve">Rozdíl mezi propanem a propan-butanem je zejména v tom, že </w:t>
      </w:r>
      <w:r>
        <w:rPr>
          <w:rStyle w:val="Siln"/>
        </w:rPr>
        <w:t>propan</w:t>
      </w:r>
      <w:r>
        <w:t xml:space="preserve"> se </w:t>
      </w:r>
      <w:r>
        <w:rPr>
          <w:rStyle w:val="Siln"/>
        </w:rPr>
        <w:t>vypařuje</w:t>
      </w:r>
      <w:r>
        <w:t xml:space="preserve"> při teplotách až </w:t>
      </w:r>
      <w:r>
        <w:rPr>
          <w:rStyle w:val="Siln"/>
        </w:rPr>
        <w:t>do -45°C</w:t>
      </w:r>
      <w:r>
        <w:t xml:space="preserve">, </w:t>
      </w:r>
      <w:r>
        <w:rPr>
          <w:rStyle w:val="Siln"/>
        </w:rPr>
        <w:t>butan</w:t>
      </w:r>
      <w:r>
        <w:t xml:space="preserve"> při teplotách </w:t>
      </w:r>
      <w:r>
        <w:rPr>
          <w:rStyle w:val="Siln"/>
        </w:rPr>
        <w:t>nad -0,5°C</w:t>
      </w:r>
      <w:r>
        <w:t xml:space="preserve"> (což vylučuje jeho použití v chladném prostředí) a </w:t>
      </w:r>
      <w:r>
        <w:rPr>
          <w:rStyle w:val="Siln"/>
        </w:rPr>
        <w:t>propan-butan</w:t>
      </w:r>
      <w:r>
        <w:t xml:space="preserve"> v průměru jen do </w:t>
      </w:r>
      <w:r>
        <w:rPr>
          <w:rStyle w:val="Siln"/>
        </w:rPr>
        <w:t>-13°C</w:t>
      </w:r>
      <w:r>
        <w:t xml:space="preserve"> (závisí na poměru propanu a butanu).</w:t>
      </w:r>
    </w:p>
    <w:p w:rsidR="00A343F7" w:rsidRDefault="00A343F7" w:rsidP="00A343F7">
      <w:pPr>
        <w:pStyle w:val="Normlnweb"/>
        <w:jc w:val="both"/>
      </w:pPr>
      <w:r>
        <w:t>Proto je</w:t>
      </w:r>
      <w:r>
        <w:rPr>
          <w:rStyle w:val="Siln"/>
        </w:rPr>
        <w:t xml:space="preserve"> propan </w:t>
      </w:r>
      <w:r>
        <w:t xml:space="preserve">používán zejména v chladných </w:t>
      </w:r>
      <w:r>
        <w:rPr>
          <w:rStyle w:val="Siln"/>
        </w:rPr>
        <w:t>zimních měsících</w:t>
      </w:r>
      <w:r>
        <w:t xml:space="preserve"> venku; pro použití </w:t>
      </w:r>
      <w:r>
        <w:rPr>
          <w:rStyle w:val="Siln"/>
        </w:rPr>
        <w:t>v létě</w:t>
      </w:r>
      <w:r>
        <w:t xml:space="preserve"> je vhodnější</w:t>
      </w:r>
      <w:r>
        <w:rPr>
          <w:rStyle w:val="Siln"/>
        </w:rPr>
        <w:t xml:space="preserve"> propan-butan</w:t>
      </w:r>
      <w:r>
        <w:t>.</w:t>
      </w:r>
    </w:p>
    <w:p w:rsidR="00A343F7" w:rsidRDefault="00A343F7" w:rsidP="00A343F7">
      <w:pPr>
        <w:pStyle w:val="Normlnweb"/>
        <w:jc w:val="both"/>
      </w:pPr>
      <w:r>
        <w:t xml:space="preserve">V </w:t>
      </w:r>
      <w:r>
        <w:rPr>
          <w:rStyle w:val="Siln"/>
        </w:rPr>
        <w:t>České republice</w:t>
      </w:r>
      <w:r>
        <w:t xml:space="preserve"> se v případě použití propan-butanu používají tzv. </w:t>
      </w:r>
      <w:r>
        <w:rPr>
          <w:rStyle w:val="Siln"/>
        </w:rPr>
        <w:t>zimní a letní směs</w:t>
      </w:r>
      <w:r>
        <w:t xml:space="preserve">, kde je </w:t>
      </w:r>
      <w:r>
        <w:rPr>
          <w:rStyle w:val="Siln"/>
        </w:rPr>
        <w:t>podíl</w:t>
      </w:r>
      <w:r>
        <w:t xml:space="preserve"> propanu a butanu obsažen </w:t>
      </w:r>
      <w:r>
        <w:rPr>
          <w:rStyle w:val="Siln"/>
        </w:rPr>
        <w:t>následovně</w:t>
      </w:r>
      <w:r>
        <w:t>:</w:t>
      </w:r>
    </w:p>
    <w:tbl>
      <w:tblPr>
        <w:tblW w:w="5700" w:type="dxa"/>
        <w:tblCellSpacing w:w="15" w:type="dxa"/>
        <w:tblCellMar>
          <w:top w:w="15" w:type="dxa"/>
          <w:left w:w="15" w:type="dxa"/>
          <w:bottom w:w="15" w:type="dxa"/>
          <w:right w:w="15" w:type="dxa"/>
        </w:tblCellMar>
        <w:tblLook w:val="04A0" w:firstRow="1" w:lastRow="0" w:firstColumn="1" w:lastColumn="0" w:noHBand="0" w:noVBand="1"/>
      </w:tblPr>
      <w:tblGrid>
        <w:gridCol w:w="1712"/>
        <w:gridCol w:w="2072"/>
        <w:gridCol w:w="1916"/>
      </w:tblGrid>
      <w:tr w:rsidR="00A343F7" w:rsidTr="00E9497F">
        <w:trPr>
          <w:tblCellSpacing w:w="15" w:type="dxa"/>
        </w:trPr>
        <w:tc>
          <w:tcPr>
            <w:tcW w:w="0" w:type="auto"/>
            <w:vAlign w:val="center"/>
            <w:hideMark/>
          </w:tcPr>
          <w:p w:rsidR="00A343F7" w:rsidRDefault="00A343F7" w:rsidP="00E9497F">
            <w:r>
              <w:rPr>
                <w:rStyle w:val="Siln"/>
              </w:rPr>
              <w:t>TYP PB SMĚSI</w:t>
            </w:r>
          </w:p>
        </w:tc>
        <w:tc>
          <w:tcPr>
            <w:tcW w:w="0" w:type="auto"/>
            <w:vAlign w:val="center"/>
            <w:hideMark/>
          </w:tcPr>
          <w:p w:rsidR="00A343F7" w:rsidRDefault="00A343F7" w:rsidP="00E9497F">
            <w:r>
              <w:rPr>
                <w:rStyle w:val="Siln"/>
              </w:rPr>
              <w:t>PODÍL PROPANU</w:t>
            </w:r>
          </w:p>
        </w:tc>
        <w:tc>
          <w:tcPr>
            <w:tcW w:w="0" w:type="auto"/>
            <w:vAlign w:val="center"/>
            <w:hideMark/>
          </w:tcPr>
          <w:p w:rsidR="00A343F7" w:rsidRDefault="00A343F7" w:rsidP="00E9497F">
            <w:r>
              <w:rPr>
                <w:rStyle w:val="Siln"/>
              </w:rPr>
              <w:t>PODÍL BUTANU</w:t>
            </w:r>
          </w:p>
        </w:tc>
      </w:tr>
      <w:tr w:rsidR="00A343F7" w:rsidTr="00E9497F">
        <w:trPr>
          <w:tblCellSpacing w:w="15" w:type="dxa"/>
        </w:trPr>
        <w:tc>
          <w:tcPr>
            <w:tcW w:w="0" w:type="auto"/>
            <w:vAlign w:val="center"/>
            <w:hideMark/>
          </w:tcPr>
          <w:p w:rsidR="00A343F7" w:rsidRDefault="00A343F7" w:rsidP="00E9497F">
            <w:r>
              <w:t>zimní směs</w:t>
            </w:r>
          </w:p>
        </w:tc>
        <w:tc>
          <w:tcPr>
            <w:tcW w:w="0" w:type="auto"/>
            <w:vAlign w:val="center"/>
            <w:hideMark/>
          </w:tcPr>
          <w:p w:rsidR="00A343F7" w:rsidRDefault="00A343F7" w:rsidP="00E9497F">
            <w:r>
              <w:t>60 %</w:t>
            </w:r>
          </w:p>
        </w:tc>
        <w:tc>
          <w:tcPr>
            <w:tcW w:w="0" w:type="auto"/>
            <w:vAlign w:val="center"/>
            <w:hideMark/>
          </w:tcPr>
          <w:p w:rsidR="00A343F7" w:rsidRDefault="00A343F7" w:rsidP="00E9497F">
            <w:r>
              <w:t>40 %</w:t>
            </w:r>
          </w:p>
        </w:tc>
      </w:tr>
      <w:tr w:rsidR="00A343F7" w:rsidTr="00E9497F">
        <w:trPr>
          <w:tblCellSpacing w:w="15" w:type="dxa"/>
        </w:trPr>
        <w:tc>
          <w:tcPr>
            <w:tcW w:w="0" w:type="auto"/>
            <w:vAlign w:val="center"/>
            <w:hideMark/>
          </w:tcPr>
          <w:p w:rsidR="00A343F7" w:rsidRDefault="00A343F7" w:rsidP="00E9497F">
            <w:r>
              <w:t>letní směs</w:t>
            </w:r>
          </w:p>
        </w:tc>
        <w:tc>
          <w:tcPr>
            <w:tcW w:w="0" w:type="auto"/>
            <w:vAlign w:val="center"/>
            <w:hideMark/>
          </w:tcPr>
          <w:p w:rsidR="00A343F7" w:rsidRDefault="00A343F7" w:rsidP="00E9497F">
            <w:r>
              <w:t>40 %</w:t>
            </w:r>
          </w:p>
        </w:tc>
        <w:tc>
          <w:tcPr>
            <w:tcW w:w="0" w:type="auto"/>
            <w:vAlign w:val="center"/>
            <w:hideMark/>
          </w:tcPr>
          <w:p w:rsidR="00A343F7" w:rsidRDefault="00A343F7" w:rsidP="00E9497F">
            <w:r>
              <w:t>60 %</w:t>
            </w:r>
          </w:p>
        </w:tc>
      </w:tr>
    </w:tbl>
    <w:p w:rsidR="00A343F7" w:rsidRDefault="00A343F7" w:rsidP="00A343F7">
      <w:pPr>
        <w:pStyle w:val="Normlnweb"/>
        <w:jc w:val="both"/>
      </w:pPr>
      <w:r>
        <w:t xml:space="preserve">Chemický vzorec </w:t>
      </w:r>
      <w:r>
        <w:rPr>
          <w:rStyle w:val="Siln"/>
        </w:rPr>
        <w:t>propanu je C</w:t>
      </w:r>
      <w:r>
        <w:rPr>
          <w:rStyle w:val="Siln"/>
          <w:vertAlign w:val="subscript"/>
        </w:rPr>
        <w:t>3</w:t>
      </w:r>
      <w:r>
        <w:rPr>
          <w:rStyle w:val="Siln"/>
        </w:rPr>
        <w:t>H</w:t>
      </w:r>
      <w:r>
        <w:rPr>
          <w:rStyle w:val="Siln"/>
          <w:vertAlign w:val="subscript"/>
        </w:rPr>
        <w:t>8</w:t>
      </w:r>
      <w:r>
        <w:t xml:space="preserve">, chemický vzorec </w:t>
      </w:r>
      <w:r>
        <w:rPr>
          <w:rStyle w:val="Siln"/>
        </w:rPr>
        <w:t>butanu je C</w:t>
      </w:r>
      <w:r>
        <w:rPr>
          <w:rStyle w:val="Siln"/>
          <w:vertAlign w:val="subscript"/>
        </w:rPr>
        <w:t>4</w:t>
      </w:r>
      <w:r>
        <w:rPr>
          <w:rStyle w:val="Siln"/>
        </w:rPr>
        <w:t>H</w:t>
      </w:r>
      <w:r>
        <w:rPr>
          <w:rStyle w:val="Siln"/>
          <w:vertAlign w:val="subscript"/>
        </w:rPr>
        <w:t>10</w:t>
      </w:r>
      <w:r>
        <w:t>.</w:t>
      </w:r>
    </w:p>
    <w:p w:rsidR="00A343F7" w:rsidRDefault="00A343F7" w:rsidP="00A343F7">
      <w:pPr>
        <w:pStyle w:val="Nadpis2"/>
      </w:pPr>
      <w:r>
        <w:t>TOPNÝ PROPAN PRIMAGAS MÁ TYTO VLASTNOSTI:</w:t>
      </w:r>
    </w:p>
    <w:p w:rsidR="00A343F7" w:rsidRDefault="00A343F7" w:rsidP="00A343F7">
      <w:pPr>
        <w:pStyle w:val="Normlnweb"/>
      </w:pPr>
      <w:r>
        <w:rPr>
          <w:rStyle w:val="Siln"/>
        </w:rPr>
        <w:t xml:space="preserve">1 kg </w:t>
      </w:r>
      <w:r>
        <w:t xml:space="preserve">zkapalněného plynu zaujímá objem cca </w:t>
      </w:r>
      <w:r>
        <w:rPr>
          <w:rStyle w:val="Siln"/>
        </w:rPr>
        <w:t>2 litry</w:t>
      </w:r>
      <w:r>
        <w:t xml:space="preserve"> a odpovídá </w:t>
      </w:r>
      <w:r>
        <w:rPr>
          <w:rStyle w:val="Siln"/>
        </w:rPr>
        <w:t>13 kWh</w:t>
      </w:r>
      <w:r>
        <w:t xml:space="preserve"> elektrické energie.</w:t>
      </w:r>
    </w:p>
    <w:p w:rsidR="00A343F7" w:rsidRPr="00AF2BFC" w:rsidRDefault="00A343F7" w:rsidP="00A343F7">
      <w:pPr>
        <w:pStyle w:val="Normlnweb"/>
        <w:rPr>
          <w:b/>
          <w:sz w:val="32"/>
          <w:szCs w:val="32"/>
        </w:rPr>
      </w:pPr>
      <w:r w:rsidRPr="00AF2BFC">
        <w:rPr>
          <w:b/>
          <w:sz w:val="32"/>
          <w:szCs w:val="32"/>
        </w:rPr>
        <w:lastRenderedPageBreak/>
        <w:t>Například, využijete-li zásobníku o objemu 2,1 t (4.850 l) a rozměrech 4250 x 1250 mm o hmotnosti 880 kg s množstvím plynu 2.100 kg, který je dostačující pro spotřebiče do 45 kW, získáte energetickou kapacitu 27.000 kWh.</w:t>
      </w:r>
    </w:p>
    <w:p w:rsidR="00A343F7" w:rsidRDefault="00A343F7" w:rsidP="00A343F7">
      <w:pPr>
        <w:spacing w:before="100" w:beforeAutospacing="1" w:after="100" w:afterAutospacing="1"/>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5" w:history="1">
        <w:r w:rsidRPr="0048506C">
          <w:rPr>
            <w:rStyle w:val="Hypertextovodkaz"/>
            <w:rFonts w:ascii="Times New Roman" w:eastAsia="Times New Roman" w:hAnsi="Times New Roman" w:cs="Times New Roman"/>
            <w:sz w:val="24"/>
            <w:szCs w:val="24"/>
            <w:lang w:eastAsia="cs-CZ"/>
          </w:rPr>
          <w:t>http://www.primagas.cz/primagas/vlastnosti-lpg/</w:t>
        </w:r>
      </w:hyperlink>
    </w:p>
    <w:p w:rsidR="00A343F7" w:rsidRDefault="00A343F7" w:rsidP="00A343F7">
      <w:pPr>
        <w:pStyle w:val="ca"/>
      </w:pPr>
    </w:p>
    <w:p w:rsidR="00A343F7" w:rsidRDefault="00586653" w:rsidP="00A343F7">
      <w:pPr>
        <w:pStyle w:val="Normlnweb"/>
        <w:jc w:val="both"/>
      </w:pPr>
      <w:r>
        <w:rPr>
          <w:rFonts w:ascii="Calibri" w:hAnsi="Calibri"/>
          <w:b/>
          <w:sz w:val="36"/>
          <w:szCs w:val="36"/>
          <w:u w:val="single"/>
        </w:rPr>
        <w:t>6</w:t>
      </w:r>
      <w:r w:rsidR="00A343F7">
        <w:rPr>
          <w:rFonts w:ascii="Calibri" w:hAnsi="Calibri"/>
          <w:b/>
          <w:sz w:val="36"/>
          <w:szCs w:val="36"/>
          <w:u w:val="single"/>
        </w:rPr>
        <w:t>.3 USKLADNĚNÍ</w:t>
      </w:r>
    </w:p>
    <w:p w:rsidR="00A343F7" w:rsidRDefault="00A343F7" w:rsidP="00A343F7">
      <w:pPr>
        <w:pStyle w:val="ca"/>
      </w:pPr>
      <w:r>
        <w:t>Propan a propan-butan se uskladňují v tlakových zásobnících.</w:t>
      </w:r>
    </w:p>
    <w:p w:rsidR="00A343F7" w:rsidRDefault="00A343F7" w:rsidP="00A343F7">
      <w:pPr>
        <w:pStyle w:val="ca"/>
        <w:spacing w:before="0" w:beforeAutospacing="0" w:after="0" w:afterAutospacing="0"/>
      </w:pPr>
      <w:r>
        <w:t xml:space="preserve">Zásobníky se umísťují mimo objekt v nadzemním nebo v podzemním provedení. V závislosti na spotřebě je možno instalovat zásobníky </w:t>
      </w:r>
    </w:p>
    <w:p w:rsidR="00A343F7" w:rsidRDefault="00A343F7" w:rsidP="00A343F7">
      <w:pPr>
        <w:pStyle w:val="ca"/>
        <w:spacing w:before="0" w:beforeAutospacing="0" w:after="0" w:afterAutospacing="0"/>
      </w:pPr>
      <w:r>
        <w:t>od 2 m</w:t>
      </w:r>
      <w:r>
        <w:rPr>
          <w:vertAlign w:val="superscript"/>
        </w:rPr>
        <w:t>3</w:t>
      </w:r>
      <w:r>
        <w:t xml:space="preserve"> ( převážně pro rodinné </w:t>
      </w:r>
      <w:proofErr w:type="gramStart"/>
      <w:r>
        <w:t>domky ) až</w:t>
      </w:r>
      <w:proofErr w:type="gramEnd"/>
      <w:r>
        <w:t xml:space="preserve"> do 250 m</w:t>
      </w:r>
      <w:r>
        <w:rPr>
          <w:vertAlign w:val="superscript"/>
        </w:rPr>
        <w:t>3</w:t>
      </w:r>
      <w:r>
        <w:t>.</w:t>
      </w:r>
    </w:p>
    <w:p w:rsidR="00A343F7" w:rsidRDefault="00A343F7" w:rsidP="00A343F7">
      <w:pPr>
        <w:pStyle w:val="ca"/>
      </w:pPr>
      <w:r>
        <w:t xml:space="preserve">S ohledem na velikost zásobníků se stanovují i bezpečností pásma těchto zásobníků, které jsou v rozmezí od 3 m ( rodinné </w:t>
      </w:r>
      <w:proofErr w:type="gramStart"/>
      <w:r>
        <w:t>domky ) až</w:t>
      </w:r>
      <w:proofErr w:type="gramEnd"/>
      <w:r>
        <w:t xml:space="preserve"> po 100 m.</w:t>
      </w:r>
    </w:p>
    <w:p w:rsidR="00A343F7" w:rsidRDefault="00A343F7" w:rsidP="00A343F7">
      <w:pPr>
        <w:pStyle w:val="ca"/>
      </w:pPr>
    </w:p>
    <w:p w:rsidR="00A343F7" w:rsidRDefault="00A343F7" w:rsidP="00A343F7">
      <w:pPr>
        <w:pStyle w:val="ca"/>
      </w:pPr>
      <w:r>
        <w:rPr>
          <w:noProof/>
        </w:rPr>
        <w:drawing>
          <wp:inline distT="0" distB="0" distL="0" distR="0" wp14:anchorId="26DC4442" wp14:editId="6B335544">
            <wp:extent cx="6652352" cy="2725947"/>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067" t="37429" r="9163" b="13929"/>
                    <a:stretch/>
                  </pic:blipFill>
                  <pic:spPr bwMode="auto">
                    <a:xfrm>
                      <a:off x="0" y="0"/>
                      <a:ext cx="6664412" cy="2730889"/>
                    </a:xfrm>
                    <a:prstGeom prst="rect">
                      <a:avLst/>
                    </a:prstGeom>
                    <a:ln>
                      <a:noFill/>
                    </a:ln>
                    <a:extLst>
                      <a:ext uri="{53640926-AAD7-44D8-BBD7-CCE9431645EC}">
                        <a14:shadowObscured xmlns:a14="http://schemas.microsoft.com/office/drawing/2010/main"/>
                      </a:ext>
                    </a:extLst>
                  </pic:spPr>
                </pic:pic>
              </a:graphicData>
            </a:graphic>
          </wp:inline>
        </w:drawing>
      </w:r>
    </w:p>
    <w:p w:rsidR="00A343F7" w:rsidRDefault="00A343F7" w:rsidP="00A343F7">
      <w:pPr>
        <w:pStyle w:val="ca"/>
      </w:pPr>
      <w:r>
        <w:t xml:space="preserve">Zdroj: </w:t>
      </w:r>
      <w:hyperlink r:id="rId7" w:history="1">
        <w:r w:rsidRPr="000F2298">
          <w:rPr>
            <w:rStyle w:val="Hypertextovodkaz"/>
          </w:rPr>
          <w:t>http://www.tomegas.cz/indexa.php?article=/produkty/zasobniky.html</w:t>
        </w:r>
      </w:hyperlink>
    </w:p>
    <w:p w:rsidR="00A343F7" w:rsidRDefault="00A343F7" w:rsidP="00A343F7">
      <w:pPr>
        <w:pStyle w:val="ca"/>
      </w:pPr>
    </w:p>
    <w:p w:rsidR="00A343F7" w:rsidRDefault="00A343F7" w:rsidP="00A343F7">
      <w:pPr>
        <w:pStyle w:val="ca"/>
      </w:pPr>
    </w:p>
    <w:p w:rsidR="00A343F7" w:rsidRDefault="00A343F7" w:rsidP="00A343F7">
      <w:pPr>
        <w:pStyle w:val="ca"/>
      </w:pPr>
    </w:p>
    <w:p w:rsidR="005A5D62" w:rsidRDefault="005A5D62" w:rsidP="00A343F7">
      <w:pPr>
        <w:pStyle w:val="ca"/>
      </w:pPr>
    </w:p>
    <w:p w:rsidR="00A343F7" w:rsidRDefault="00A343F7" w:rsidP="00A343F7">
      <w:pPr>
        <w:pStyle w:val="ca"/>
      </w:pPr>
    </w:p>
    <w:p w:rsidR="00A343F7" w:rsidRDefault="00586653" w:rsidP="00A343F7">
      <w:pPr>
        <w:pStyle w:val="Normlnweb"/>
        <w:jc w:val="both"/>
      </w:pPr>
      <w:r>
        <w:rPr>
          <w:rFonts w:ascii="Calibri" w:hAnsi="Calibri"/>
          <w:b/>
          <w:sz w:val="36"/>
          <w:szCs w:val="36"/>
          <w:u w:val="single"/>
        </w:rPr>
        <w:lastRenderedPageBreak/>
        <w:t>6</w:t>
      </w:r>
      <w:r w:rsidR="00A343F7">
        <w:rPr>
          <w:rFonts w:ascii="Calibri" w:hAnsi="Calibri"/>
          <w:b/>
          <w:sz w:val="36"/>
          <w:szCs w:val="36"/>
          <w:u w:val="single"/>
        </w:rPr>
        <w:t>.</w:t>
      </w:r>
      <w:r w:rsidR="005A5D62">
        <w:rPr>
          <w:rFonts w:ascii="Calibri" w:hAnsi="Calibri"/>
          <w:b/>
          <w:sz w:val="36"/>
          <w:szCs w:val="36"/>
          <w:u w:val="single"/>
        </w:rPr>
        <w:t>4</w:t>
      </w:r>
      <w:r w:rsidR="00A343F7">
        <w:rPr>
          <w:rFonts w:ascii="Calibri" w:hAnsi="Calibri"/>
          <w:b/>
          <w:sz w:val="36"/>
          <w:szCs w:val="36"/>
          <w:u w:val="single"/>
        </w:rPr>
        <w:t xml:space="preserve"> POUŽITÍ V DOMÁCNOSTECH</w:t>
      </w:r>
    </w:p>
    <w:p w:rsidR="00A343F7" w:rsidRDefault="00A343F7" w:rsidP="00A343F7">
      <w:pPr>
        <w:pStyle w:val="ca"/>
      </w:pPr>
      <w:r>
        <w:t>Možnost využití propanu, nebo butanu, případně jejich směsí je nejlepší řešení tam kde není možné se napojit přímo na zemní plyn. Ve srovnání se zemním plynem to nemusí být vždy dražší řešení.</w:t>
      </w:r>
    </w:p>
    <w:p w:rsidR="00A343F7" w:rsidRDefault="00A343F7" w:rsidP="00A343F7">
      <w:pPr>
        <w:pStyle w:val="ca"/>
      </w:pPr>
      <w:r>
        <w:t>Vytápění pomocí zkapalněného plynu PB je v současné době jedním z nejekologičtějších a nejpohodlnějších způsobů vytápění rodinných domků, bytových a rekreačních objektů, penzionů, nemocnic atd.</w:t>
      </w:r>
    </w:p>
    <w:p w:rsidR="00A343F7" w:rsidRDefault="00A343F7" w:rsidP="00A343F7">
      <w:pPr>
        <w:pStyle w:val="ca"/>
      </w:pPr>
      <w:r>
        <w:t>Použití PB se neomezuje pouze na vytápění samotného objektu, ale lze ho rovněž bez problémů použít například na ohřev vody a vaření.</w:t>
      </w:r>
    </w:p>
    <w:p w:rsidR="00A343F7" w:rsidRDefault="00A343F7" w:rsidP="00A343F7">
      <w:pPr>
        <w:pStyle w:val="ca"/>
      </w:pPr>
      <w:r>
        <w:t>Od klasických teplovodních topných systémů se liší pouze tím, že je třeba mít navíc zásobník na plyn. Ten může být nadzemní nebo podzemní a umisťuje se mimo budovu.</w:t>
      </w:r>
    </w:p>
    <w:p w:rsidR="00A343F7" w:rsidRDefault="00A343F7" w:rsidP="00A343F7">
      <w:pPr>
        <w:pStyle w:val="ca"/>
      </w:pPr>
      <w:r>
        <w:t>Zkapalněný plyn se rozváží autocisternami po celém území České a Slovenské republiky, a to i v těžko dostupných oblastech. Nádrže nemusí být umístěny přímo u hlavní komunikace, protože autocisterny jsou vybaveny až 40 metrů dlouhou plnicí hadicí. Zásobování je prováděno dle potřeb zákazníka, doprava a stočení zkapalněného plynu jsou již započteny v ceně.</w:t>
      </w:r>
    </w:p>
    <w:p w:rsidR="00A343F7" w:rsidRDefault="00A343F7" w:rsidP="00A343F7">
      <w:pPr>
        <w:pStyle w:val="ca"/>
      </w:pPr>
    </w:p>
    <w:p w:rsidR="00A343F7" w:rsidRDefault="00A343F7" w:rsidP="00A343F7">
      <w:pPr>
        <w:pStyle w:val="ca"/>
      </w:pPr>
    </w:p>
    <w:p w:rsidR="00386107" w:rsidRDefault="00586653"/>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Default="005A5D62"/>
    <w:p w:rsidR="005A5D62" w:rsidRPr="005A5D62" w:rsidRDefault="005A5D62">
      <w:pPr>
        <w:rPr>
          <w:b/>
          <w:sz w:val="32"/>
          <w:szCs w:val="32"/>
        </w:rPr>
      </w:pPr>
      <w:r>
        <w:rPr>
          <w:b/>
          <w:sz w:val="32"/>
          <w:szCs w:val="32"/>
        </w:rPr>
        <w:lastRenderedPageBreak/>
        <w:t xml:space="preserve">         </w:t>
      </w:r>
      <w:r w:rsidR="00586653">
        <w:rPr>
          <w:b/>
          <w:sz w:val="32"/>
          <w:szCs w:val="32"/>
        </w:rPr>
        <w:t>6</w:t>
      </w:r>
      <w:r>
        <w:rPr>
          <w:b/>
          <w:sz w:val="32"/>
          <w:szCs w:val="32"/>
        </w:rPr>
        <w:t xml:space="preserve">.5 </w:t>
      </w:r>
      <w:r w:rsidRPr="005A5D62">
        <w:rPr>
          <w:b/>
          <w:sz w:val="32"/>
          <w:szCs w:val="32"/>
        </w:rPr>
        <w:t>Nadzemní zásobníky – jsou určeny k venkovní instalaci</w:t>
      </w:r>
    </w:p>
    <w:p w:rsidR="005A5D62" w:rsidRDefault="005A5D62"/>
    <w:p w:rsidR="005A5D62" w:rsidRDefault="005A5D62">
      <w:r>
        <w:rPr>
          <w:noProof/>
          <w:lang w:eastAsia="cs-CZ"/>
        </w:rPr>
        <w:drawing>
          <wp:inline distT="0" distB="0" distL="0" distR="0" wp14:anchorId="13BA8C58" wp14:editId="78D9E9C0">
            <wp:extent cx="6615485" cy="781052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402"/>
                    <a:stretch/>
                  </pic:blipFill>
                  <pic:spPr bwMode="auto">
                    <a:xfrm>
                      <a:off x="0" y="0"/>
                      <a:ext cx="6626344" cy="7823347"/>
                    </a:xfrm>
                    <a:prstGeom prst="rect">
                      <a:avLst/>
                    </a:prstGeom>
                    <a:ln>
                      <a:noFill/>
                    </a:ln>
                    <a:extLst>
                      <a:ext uri="{53640926-AAD7-44D8-BBD7-CCE9431645EC}">
                        <a14:shadowObscured xmlns:a14="http://schemas.microsoft.com/office/drawing/2010/main"/>
                      </a:ext>
                    </a:extLst>
                  </pic:spPr>
                </pic:pic>
              </a:graphicData>
            </a:graphic>
          </wp:inline>
        </w:drawing>
      </w:r>
    </w:p>
    <w:p w:rsidR="005A5D62" w:rsidRDefault="005A5D62"/>
    <w:p w:rsidR="005A5D62" w:rsidRDefault="005A5D62"/>
    <w:p w:rsidR="005A5D62" w:rsidRDefault="005A5D62"/>
    <w:p w:rsidR="005A5D62" w:rsidRDefault="005A5D62" w:rsidP="005A5D62">
      <w:pPr>
        <w:rPr>
          <w:b/>
          <w:sz w:val="32"/>
          <w:szCs w:val="32"/>
        </w:rPr>
      </w:pPr>
      <w:r>
        <w:rPr>
          <w:b/>
          <w:sz w:val="32"/>
          <w:szCs w:val="32"/>
        </w:rPr>
        <w:lastRenderedPageBreak/>
        <w:t xml:space="preserve">     </w:t>
      </w:r>
      <w:r w:rsidR="00586653">
        <w:rPr>
          <w:b/>
          <w:sz w:val="32"/>
          <w:szCs w:val="32"/>
        </w:rPr>
        <w:t>6</w:t>
      </w:r>
      <w:bookmarkStart w:id="0" w:name="_GoBack"/>
      <w:bookmarkEnd w:id="0"/>
      <w:r>
        <w:rPr>
          <w:b/>
          <w:sz w:val="32"/>
          <w:szCs w:val="32"/>
        </w:rPr>
        <w:t xml:space="preserve">.6 Podzemní </w:t>
      </w:r>
      <w:r w:rsidRPr="005A5D62">
        <w:rPr>
          <w:b/>
          <w:sz w:val="32"/>
          <w:szCs w:val="32"/>
        </w:rPr>
        <w:t xml:space="preserve">zásobníky – </w:t>
      </w:r>
      <w:r>
        <w:rPr>
          <w:b/>
          <w:sz w:val="32"/>
          <w:szCs w:val="32"/>
        </w:rPr>
        <w:t>pro uložení pod terén</w:t>
      </w:r>
    </w:p>
    <w:p w:rsidR="005A5D62" w:rsidRPr="005A5D62" w:rsidRDefault="005A5D62" w:rsidP="005A5D62">
      <w:pPr>
        <w:rPr>
          <w:b/>
          <w:sz w:val="32"/>
          <w:szCs w:val="32"/>
        </w:rPr>
      </w:pPr>
    </w:p>
    <w:p w:rsidR="005A5D62" w:rsidRDefault="005A5D62"/>
    <w:p w:rsidR="005A5D62" w:rsidRDefault="005A5D62">
      <w:r>
        <w:rPr>
          <w:noProof/>
          <w:lang w:eastAsia="cs-CZ"/>
        </w:rPr>
        <w:drawing>
          <wp:inline distT="0" distB="0" distL="0" distR="0" wp14:anchorId="6BD3A3F1" wp14:editId="4E42804E">
            <wp:extent cx="6501525" cy="7100514"/>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18052" cy="7118563"/>
                    </a:xfrm>
                    <a:prstGeom prst="rect">
                      <a:avLst/>
                    </a:prstGeom>
                  </pic:spPr>
                </pic:pic>
              </a:graphicData>
            </a:graphic>
          </wp:inline>
        </w:drawing>
      </w:r>
    </w:p>
    <w:sectPr w:rsidR="005A5D62" w:rsidSect="00A343F7">
      <w:pgSz w:w="11906" w:h="16838"/>
      <w:pgMar w:top="1418" w:right="567" w:bottom="141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3F7"/>
    <w:rsid w:val="00586653"/>
    <w:rsid w:val="005A5D62"/>
    <w:rsid w:val="00A343F7"/>
    <w:rsid w:val="00DA0E9C"/>
    <w:rsid w:val="00EB0B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DF41B2-D8BF-4AC2-AAD6-9660BD87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343F7"/>
    <w:pPr>
      <w:spacing w:after="0" w:line="240" w:lineRule="auto"/>
    </w:pPr>
  </w:style>
  <w:style w:type="paragraph" w:styleId="Nadpis2">
    <w:name w:val="heading 2"/>
    <w:basedOn w:val="Normln"/>
    <w:next w:val="Normln"/>
    <w:link w:val="Nadpis2Char"/>
    <w:uiPriority w:val="9"/>
    <w:semiHidden/>
    <w:unhideWhenUsed/>
    <w:qFormat/>
    <w:rsid w:val="00A343F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semiHidden/>
    <w:rsid w:val="00A343F7"/>
    <w:rPr>
      <w:rFonts w:asciiTheme="majorHAnsi" w:eastAsiaTheme="majorEastAsia" w:hAnsiTheme="majorHAnsi" w:cstheme="majorBidi"/>
      <w:color w:val="2E74B5" w:themeColor="accent1" w:themeShade="BF"/>
      <w:sz w:val="26"/>
      <w:szCs w:val="26"/>
    </w:rPr>
  </w:style>
  <w:style w:type="character" w:styleId="Hypertextovodkaz">
    <w:name w:val="Hyperlink"/>
    <w:basedOn w:val="Standardnpsmoodstavce"/>
    <w:uiPriority w:val="99"/>
    <w:unhideWhenUsed/>
    <w:rsid w:val="00A343F7"/>
    <w:rPr>
      <w:color w:val="0563C1" w:themeColor="hyperlink"/>
      <w:u w:val="single"/>
    </w:rPr>
  </w:style>
  <w:style w:type="paragraph" w:styleId="Normlnweb">
    <w:name w:val="Normal (Web)"/>
    <w:basedOn w:val="Normln"/>
    <w:uiPriority w:val="99"/>
    <w:semiHidden/>
    <w:unhideWhenUsed/>
    <w:rsid w:val="00A343F7"/>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343F7"/>
    <w:rPr>
      <w:b/>
      <w:bCs/>
    </w:rPr>
  </w:style>
  <w:style w:type="paragraph" w:customStyle="1" w:styleId="ca">
    <w:name w:val="ca"/>
    <w:basedOn w:val="Normln"/>
    <w:rsid w:val="00A343F7"/>
    <w:pPr>
      <w:spacing w:before="100" w:beforeAutospacing="1" w:after="100" w:afterAutospacing="1"/>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tomegas.cz/indexa.php?article=/produkty/zasobniky.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primagas.cz/primagas/vlastnosti-lpg/" TargetMode="External"/><Relationship Id="rId10" Type="http://schemas.openxmlformats.org/officeDocument/2006/relationships/fontTable" Target="fontTable.xml"/><Relationship Id="rId4" Type="http://schemas.openxmlformats.org/officeDocument/2006/relationships/hyperlink" Target="http://www.tomegas.cz/" TargetMode="Externa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620</Words>
  <Characters>3660</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2020-04-01T08:54:00Z</dcterms:created>
  <dcterms:modified xsi:type="dcterms:W3CDTF">2020-04-01T08:54:00Z</dcterms:modified>
</cp:coreProperties>
</file>